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C3" w:rsidRDefault="005113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38C5C" wp14:editId="76FC870D">
                <wp:simplePos x="0" y="0"/>
                <wp:positionH relativeFrom="margin">
                  <wp:posOffset>4493299</wp:posOffset>
                </wp:positionH>
                <wp:positionV relativeFrom="page">
                  <wp:posOffset>177282</wp:posOffset>
                </wp:positionV>
                <wp:extent cx="1656456" cy="646981"/>
                <wp:effectExtent l="0" t="0" r="1270" b="127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656456" cy="6469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1318" w:rsidRDefault="0005147B" w:rsidP="00511318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DAF_2025_000447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38C5C" id="Rectangle 132" o:spid="_x0000_s1026" style="position:absolute;left:0;text-align:left;margin-left:353.8pt;margin-top:13.95pt;width:130.45pt;height:50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" fillcolor="#b01513 [3204]" stroked="f" strokeweight="1.5pt">
                <v:stroke endcap="round"/>
                <v:path arrowok="t"/>
                <o:lock v:ext="edit" aspectratio="t"/>
                <v:textbox inset="3.6pt,,3.6pt">
                  <w:txbxContent>
                    <w:p w:rsidR="00511318" w:rsidRDefault="0005147B" w:rsidP="00511318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DAF_2025_000447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69573" wp14:editId="35406945">
                <wp:simplePos x="0" y="0"/>
                <wp:positionH relativeFrom="page">
                  <wp:posOffset>414670</wp:posOffset>
                </wp:positionH>
                <wp:positionV relativeFrom="margin">
                  <wp:posOffset>25238</wp:posOffset>
                </wp:positionV>
                <wp:extent cx="6655981" cy="1850065"/>
                <wp:effectExtent l="19050" t="19050" r="12065" b="1714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5981" cy="18500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1318" w:rsidRPr="00116596" w:rsidRDefault="00511318" w:rsidP="00511318">
                            <w:pPr>
                              <w:jc w:val="center"/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6596"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Marché public de service</w:t>
                            </w: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Annexe</w:t>
                            </w: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l’Acte d’Engagement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26957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32.65pt;margin-top:2pt;width:524.1pt;height:1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" fillcolor="#54849a [3208]" strokecolor="white [3201]" strokeweight="2.25pt">
                <v:stroke endcap="round"/>
                <v:textbox>
                  <w:txbxContent>
                    <w:p w:rsidR="00511318" w:rsidRPr="00116596" w:rsidRDefault="00511318" w:rsidP="00511318">
                      <w:pPr>
                        <w:jc w:val="center"/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6596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Marché public de service</w:t>
                      </w: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Annexe</w:t>
                      </w: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à</w:t>
                      </w:r>
                      <w:proofErr w:type="gramEnd"/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l’Acte d’Engagement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 w:rsidP="00511318">
      <w:pPr>
        <w:pStyle w:val="Titre1"/>
      </w:pPr>
      <w:r>
        <w:t>Objet de l’accord-cadre :</w:t>
      </w:r>
    </w:p>
    <w:p w:rsidR="00511318" w:rsidRDefault="00703F08" w:rsidP="00703F08">
      <w:r>
        <w:t xml:space="preserve">Accord-cadre </w:t>
      </w:r>
      <w:r w:rsidR="00DC52EF">
        <w:t>à bons de commande</w:t>
      </w:r>
      <w:r>
        <w:t xml:space="preserve"> pour le traitement des petites interventions</w:t>
      </w:r>
      <w:r w:rsidR="00DC52EF">
        <w:t xml:space="preserve"> multi-corps d’état</w:t>
      </w:r>
      <w:r>
        <w:t xml:space="preserve"> de type « SOS Dépannage » </w:t>
      </w:r>
      <w:r w:rsidR="0005147B" w:rsidRPr="0005147B">
        <w:t>sans</w:t>
      </w:r>
      <w:r w:rsidRPr="0005147B">
        <w:t xml:space="preserve"> mise en place d’une astreinte hors heures et jours œuvres</w:t>
      </w:r>
      <w:r>
        <w:t xml:space="preserve"> pour la base de défense de </w:t>
      </w:r>
      <w:r w:rsidR="0005147B">
        <w:t>Clermont-Ferrand</w:t>
      </w:r>
    </w:p>
    <w:p w:rsidR="00F23B53" w:rsidRDefault="00F23B53" w:rsidP="00511318"/>
    <w:p w:rsidR="00F23B53" w:rsidRDefault="0005147B" w:rsidP="00511318">
      <w:r>
        <w:t>Lot n°0</w:t>
      </w:r>
      <w:r w:rsidR="00B44FB0">
        <w:t>2</w:t>
      </w:r>
      <w:r>
        <w:rPr>
          <w:rFonts w:ascii="Calibri" w:hAnsi="Calibri" w:cs="Calibri"/>
        </w:rPr>
        <w:t> </w:t>
      </w:r>
      <w:r>
        <w:t xml:space="preserve">: </w:t>
      </w:r>
      <w:r w:rsidR="00DC52EF">
        <w:t>Sites du d</w:t>
      </w:r>
      <w:r>
        <w:t xml:space="preserve">épartement </w:t>
      </w:r>
      <w:r w:rsidR="00B44FB0">
        <w:t>de l’Allier</w:t>
      </w:r>
      <w:r>
        <w:t xml:space="preserve"> (</w:t>
      </w:r>
      <w:r w:rsidR="00B44FB0">
        <w:t>0</w:t>
      </w:r>
      <w:r>
        <w:t>3)</w:t>
      </w:r>
    </w:p>
    <w:p w:rsidR="00DC52EF" w:rsidRDefault="00DC52EF" w:rsidP="00511318">
      <w:r>
        <w:t>Moulins - Yzeure</w:t>
      </w:r>
      <w:bookmarkStart w:id="0" w:name="_GoBack"/>
      <w:bookmarkEnd w:id="0"/>
    </w:p>
    <w:p w:rsidR="00511318" w:rsidRDefault="00511318" w:rsidP="00511318">
      <w:pPr>
        <w:pStyle w:val="Titre1"/>
      </w:pPr>
      <w:r>
        <w:t>Informations</w:t>
      </w:r>
      <w:r>
        <w:rPr>
          <w:rFonts w:ascii="Calibri" w:hAnsi="Calibri" w:cs="Calibri"/>
        </w:rPr>
        <w:t> </w:t>
      </w:r>
      <w:r>
        <w:t>:</w:t>
      </w:r>
    </w:p>
    <w:p w:rsidR="00511318" w:rsidRDefault="00511318" w:rsidP="00511318">
      <w:r>
        <w:t>L’acte d’engagement est complété comme suit</w:t>
      </w:r>
      <w:r>
        <w:rPr>
          <w:rFonts w:ascii="Calibri" w:hAnsi="Calibri" w:cs="Calibri"/>
        </w:rPr>
        <w:t> </w:t>
      </w:r>
      <w:r>
        <w:t>:</w:t>
      </w:r>
    </w:p>
    <w:p w:rsidR="00511318" w:rsidRDefault="00511318" w:rsidP="0051131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Numéro de marché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/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Numéro d’engagement juridique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/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ESID de Lyon/ service exécution de la dépense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Pr="00511318" w:rsidRDefault="007A4651" w:rsidP="0005147B">
            <w:r w:rsidRPr="007A4651">
              <w:rPr>
                <w:bCs/>
                <w:sz w:val="24"/>
                <w:szCs w:val="24"/>
              </w:rPr>
              <w:t>11000201100044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318" w:rsidRPr="00511318">
              <w:rPr>
                <w:bCs/>
                <w:sz w:val="24"/>
                <w:szCs w:val="24"/>
              </w:rPr>
              <w:t xml:space="preserve">– D10711F069 </w:t>
            </w:r>
          </w:p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>
            <w:r>
              <w:t>Mois zéro / mois de remise d’offre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/>
        </w:tc>
      </w:tr>
    </w:tbl>
    <w:p w:rsidR="00511318" w:rsidRPr="00511318" w:rsidRDefault="00511318" w:rsidP="00511318"/>
    <w:p w:rsidR="00511318" w:rsidRDefault="00511318">
      <w:r>
        <w:t>Montants de l’accord-cadre</w:t>
      </w:r>
      <w:r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3317"/>
        <w:gridCol w:w="3623"/>
      </w:tblGrid>
      <w:tr w:rsidR="00511318" w:rsidTr="00511318">
        <w:tc>
          <w:tcPr>
            <w:tcW w:w="2127" w:type="dxa"/>
            <w:tcBorders>
              <w:top w:val="nil"/>
              <w:left w:val="nil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1A0740"/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F23B53" w:rsidP="00F23B53">
            <w:pPr>
              <w:jc w:val="right"/>
            </w:pPr>
            <w:r w:rsidRPr="00F23B53">
              <w:t>Montant € HT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F23B53" w:rsidP="00F23B53">
            <w:pPr>
              <w:jc w:val="right"/>
            </w:pPr>
            <w:r w:rsidRPr="00F23B53">
              <w:t>Montant € TTC</w:t>
            </w:r>
          </w:p>
        </w:tc>
      </w:tr>
      <w:tr w:rsidR="00511318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Montant m</w:t>
            </w:r>
            <w:r w:rsidR="00F23B53">
              <w:rPr>
                <w:szCs w:val="20"/>
              </w:rPr>
              <w:t>ax</w:t>
            </w:r>
            <w:r w:rsidRPr="00511318">
              <w:rPr>
                <w:szCs w:val="20"/>
              </w:rPr>
              <w:t>i</w:t>
            </w:r>
            <w:r>
              <w:rPr>
                <w:szCs w:val="20"/>
              </w:rPr>
              <w:t>mum</w:t>
            </w:r>
          </w:p>
          <w:p w:rsidR="00511318" w:rsidRPr="00511318" w:rsidRDefault="00703F08" w:rsidP="00511318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>annuel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</w:tr>
    </w:tbl>
    <w:p w:rsidR="00511318" w:rsidRDefault="00511318"/>
    <w:p w:rsidR="00511318" w:rsidRDefault="00511318"/>
    <w:p w:rsidR="00511318" w:rsidRDefault="00511318"/>
    <w:sectPr w:rsidR="0051131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656" w:rsidRDefault="000C5656" w:rsidP="00F23B53">
      <w:pPr>
        <w:spacing w:line="240" w:lineRule="auto"/>
      </w:pPr>
      <w:r>
        <w:separator/>
      </w:r>
    </w:p>
  </w:endnote>
  <w:endnote w:type="continuationSeparator" w:id="0">
    <w:p w:rsidR="000C5656" w:rsidRDefault="000C5656" w:rsidP="00F23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B53" w:rsidRDefault="00F23B53">
    <w:pPr>
      <w:pStyle w:val="Pieddepage"/>
    </w:pPr>
    <w:r w:rsidRPr="00F23B53">
      <w:t>Annexe à l’AE –</w:t>
    </w:r>
    <w:r>
      <w:t xml:space="preserve"> </w:t>
    </w:r>
    <w:r w:rsidR="0005147B">
      <w:t>ESID 25-16</w:t>
    </w:r>
    <w:r w:rsidR="00B44FB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656" w:rsidRDefault="000C5656" w:rsidP="00F23B53">
      <w:pPr>
        <w:spacing w:line="240" w:lineRule="auto"/>
      </w:pPr>
      <w:r>
        <w:separator/>
      </w:r>
    </w:p>
  </w:footnote>
  <w:footnote w:type="continuationSeparator" w:id="0">
    <w:p w:rsidR="000C5656" w:rsidRDefault="000C5656" w:rsidP="00F23B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B53" w:rsidRDefault="00035D6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margin">
            <wp:posOffset>-371475</wp:posOffset>
          </wp:positionH>
          <wp:positionV relativeFrom="paragraph">
            <wp:posOffset>-391160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18"/>
    <w:rsid w:val="00035D68"/>
    <w:rsid w:val="0005147B"/>
    <w:rsid w:val="000C5656"/>
    <w:rsid w:val="000D2FE0"/>
    <w:rsid w:val="001D5A9E"/>
    <w:rsid w:val="003064C1"/>
    <w:rsid w:val="00511318"/>
    <w:rsid w:val="00703F08"/>
    <w:rsid w:val="007A4651"/>
    <w:rsid w:val="00AD60E2"/>
    <w:rsid w:val="00AE3FD3"/>
    <w:rsid w:val="00B44FB0"/>
    <w:rsid w:val="00DC52EF"/>
    <w:rsid w:val="00F23B53"/>
    <w:rsid w:val="00F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4F6D4"/>
  <w15:chartTrackingRefBased/>
  <w15:docId w15:val="{8D51F70C-3DCA-42D9-B4F9-6E8E9B0E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318"/>
    <w:pPr>
      <w:spacing w:after="0" w:line="288" w:lineRule="auto"/>
      <w:jc w:val="both"/>
    </w:pPr>
    <w:rPr>
      <w:rFonts w:ascii="Marianne" w:eastAsiaTheme="minorEastAsia" w:hAnsi="Marianne"/>
      <w:sz w:val="20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511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1318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511318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ansinterligne">
    <w:name w:val="No Spacing"/>
    <w:link w:val="SansinterligneCar"/>
    <w:uiPriority w:val="1"/>
    <w:qFormat/>
    <w:rsid w:val="00511318"/>
    <w:pPr>
      <w:spacing w:after="0" w:line="240" w:lineRule="auto"/>
    </w:pPr>
    <w:rPr>
      <w:rFonts w:ascii="Marianne" w:eastAsiaTheme="minorEastAsia" w:hAnsi="Marianne"/>
      <w:sz w:val="20"/>
      <w:szCs w:val="21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11318"/>
    <w:rPr>
      <w:rFonts w:ascii="Marianne" w:eastAsiaTheme="minorEastAsia" w:hAnsi="Marianne"/>
      <w:sz w:val="20"/>
      <w:szCs w:val="21"/>
    </w:rPr>
  </w:style>
  <w:style w:type="character" w:customStyle="1" w:styleId="Titre1Car">
    <w:name w:val="Titre 1 Car"/>
    <w:basedOn w:val="Policepardfaut"/>
    <w:link w:val="Titre1"/>
    <w:uiPriority w:val="9"/>
    <w:rsid w:val="00511318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51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3B5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B53"/>
    <w:rPr>
      <w:rFonts w:ascii="Marianne" w:eastAsiaTheme="minorEastAsia" w:hAnsi="Marianne"/>
      <w:sz w:val="20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F23B5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B53"/>
    <w:rPr>
      <w:rFonts w:ascii="Marianne" w:eastAsiaTheme="minorEastAsia" w:hAnsi="Marianne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39F141-D9BB-4AEF-B4D0-8295BD7659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712030-1167-4C20-AD78-D8789A88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F10AE-19E1-4596-9ADB-F0D8CB7F4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LE CAM Laetitia TSEF 2E CLASSE DEF</cp:lastModifiedBy>
  <cp:revision>5</cp:revision>
  <dcterms:created xsi:type="dcterms:W3CDTF">2022-06-27T08:29:00Z</dcterms:created>
  <dcterms:modified xsi:type="dcterms:W3CDTF">2025-06-18T07:00:00Z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